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spacing w:line="288" w:lineRule="auto"/>
        <w:rPr>
          <w:sz w:val="24"/>
          <w:szCs w:val="24"/>
        </w:rPr>
      </w:pPr>
    </w:p>
    <w:p>
      <w:pPr>
        <w:pStyle w:val="Body Text"/>
        <w:spacing w:before="5" w:line="288" w:lineRule="auto"/>
        <w:rPr>
          <w:sz w:val="24"/>
          <w:szCs w:val="24"/>
        </w:rPr>
      </w:pPr>
    </w:p>
    <w:p>
      <w:pPr>
        <w:pStyle w:val="Heading"/>
        <w:spacing w:line="288" w:lineRule="auto"/>
        <w:ind w:left="2790" w:right="120" w:hanging="2790"/>
        <w:rPr>
          <w:color w:val="0099cc"/>
          <w:u w:color="0099cc"/>
        </w:rPr>
      </w:pPr>
    </w:p>
    <w:p>
      <w:pPr>
        <w:pStyle w:val="Heading"/>
        <w:spacing w:line="288" w:lineRule="auto"/>
        <w:ind w:left="2790" w:right="120" w:hanging="2658"/>
        <w:rPr>
          <w:color w:val="0099cc"/>
          <w:u w:color="0099cc"/>
        </w:rPr>
      </w:pPr>
      <w:r>
        <w:rPr>
          <w:color w:val="0099cc"/>
          <w:u w:color="0099cc"/>
          <w:rtl w:val="0"/>
          <w:lang w:val="en-US"/>
        </w:rPr>
        <w:t>GLOBALG.A.P. Aquaculture Certification System - Monitoring of Continued Alignment</w:t>
      </w:r>
    </w:p>
    <w:p>
      <w:pPr>
        <w:pStyle w:val="Body Text"/>
        <w:spacing w:before="1" w:line="288" w:lineRule="auto"/>
        <w:ind w:left="132" w:right="129" w:firstLine="0"/>
        <w:rPr>
          <w:sz w:val="24"/>
          <w:szCs w:val="24"/>
        </w:rPr>
      </w:pPr>
      <w:r>
        <w:rPr>
          <w:sz w:val="24"/>
          <w:szCs w:val="24"/>
          <w:rtl w:val="0"/>
          <w:lang w:val="en-US"/>
        </w:rPr>
        <w:t>GLOBALG.A.P. Aquaculture Certification System obtained GSSI recognition on the 20</w:t>
      </w:r>
      <w:r>
        <w:rPr>
          <w:sz w:val="24"/>
          <w:szCs w:val="24"/>
          <w:vertAlign w:val="superscript"/>
          <w:rtl w:val="0"/>
          <w:lang w:val="en-US"/>
        </w:rPr>
        <w:t>th</w:t>
      </w:r>
      <w:r>
        <w:rPr>
          <w:sz w:val="24"/>
          <w:szCs w:val="24"/>
          <w:rtl w:val="0"/>
          <w:lang w:val="en-US"/>
        </w:rPr>
        <w:t xml:space="preserve"> April 2018, for its Integrated Farm Assurance System version 5.1-1 covering finfish, crustaceans and molluscs. The standard was compared against Section A (Governance), Section B (Operational Management) and C (Aquaculture) of the GSSI Global Benchmark Tool (Version 1.0, 2016).</w:t>
      </w:r>
    </w:p>
    <w:p>
      <w:pPr>
        <w:pStyle w:val="Body Text"/>
        <w:spacing w:before="5" w:line="288" w:lineRule="auto"/>
        <w:rPr>
          <w:sz w:val="24"/>
          <w:szCs w:val="24"/>
        </w:rPr>
      </w:pPr>
    </w:p>
    <w:p>
      <w:pPr>
        <w:pStyle w:val="Body Text"/>
        <w:spacing w:before="1" w:line="288" w:lineRule="auto"/>
        <w:ind w:left="132" w:right="129" w:firstLine="0"/>
        <w:rPr>
          <w:sz w:val="24"/>
          <w:szCs w:val="24"/>
        </w:rPr>
      </w:pPr>
      <w:r>
        <w:rPr>
          <w:sz w:val="24"/>
          <w:szCs w:val="24"/>
          <w:rtl w:val="0"/>
          <w:lang w:val="en-US"/>
        </w:rPr>
        <w:t>In July 2019, GSSI</w:t>
      </w:r>
      <w:r>
        <w:rPr>
          <w:sz w:val="24"/>
          <w:szCs w:val="24"/>
          <w:rtl w:val="0"/>
          <w:lang w:val="en-US"/>
        </w:rPr>
        <w:t>’</w:t>
      </w:r>
      <w:r>
        <w:rPr>
          <w:sz w:val="24"/>
          <w:szCs w:val="24"/>
          <w:rtl w:val="0"/>
          <w:lang w:val="en-US"/>
        </w:rPr>
        <w:t>s Monitoring of Continued Alignment (MOCA) procedure began which comprises a review of any changes in the Scheme</w:t>
      </w:r>
      <w:r>
        <w:rPr>
          <w:sz w:val="24"/>
          <w:szCs w:val="24"/>
          <w:rtl w:val="0"/>
          <w:lang w:val="en-US"/>
        </w:rPr>
        <w:t>’</w:t>
      </w:r>
      <w:r>
        <w:rPr>
          <w:sz w:val="24"/>
          <w:szCs w:val="24"/>
          <w:rtl w:val="0"/>
          <w:lang w:val="en-US"/>
        </w:rPr>
        <w:t xml:space="preserve">s ownership, management or the standard itself. </w:t>
      </w:r>
      <w:r>
        <w:rPr>
          <w:spacing w:val="2"/>
          <w:sz w:val="24"/>
          <w:szCs w:val="24"/>
          <w:rtl w:val="0"/>
          <w:lang w:val="en-US"/>
        </w:rPr>
        <w:t xml:space="preserve">The </w:t>
      </w:r>
      <w:r>
        <w:rPr>
          <w:sz w:val="24"/>
          <w:szCs w:val="24"/>
          <w:rtl w:val="0"/>
          <w:lang w:val="en-US"/>
        </w:rPr>
        <w:t xml:space="preserve">Independent Experts </w:t>
      </w:r>
      <w:r>
        <w:rPr>
          <w:sz w:val="24"/>
          <w:szCs w:val="24"/>
          <w:rtl w:val="0"/>
          <w:lang w:val="en-US"/>
        </w:rPr>
        <w:t xml:space="preserve">(IE) </w:t>
      </w:r>
      <w:r>
        <w:rPr>
          <w:sz w:val="24"/>
          <w:szCs w:val="24"/>
          <w:rtl w:val="0"/>
          <w:lang w:val="en-US"/>
        </w:rPr>
        <w:t xml:space="preserve">found that the GLOBALG.A.P. Aquaculture certification program (version 5.2, </w:t>
      </w:r>
      <w:r>
        <w:rPr>
          <w:sz w:val="24"/>
          <w:szCs w:val="24"/>
          <w:rtl w:val="0"/>
          <w:lang w:val="en-US"/>
        </w:rPr>
        <w:t xml:space="preserve">1 February, </w:t>
      </w:r>
      <w:r>
        <w:rPr>
          <w:sz w:val="24"/>
          <w:szCs w:val="24"/>
          <w:rtl w:val="0"/>
          <w:lang w:val="en-US"/>
        </w:rPr>
        <w:t xml:space="preserve">2019) continues to be in alignment with all GSSI Essential Components. </w:t>
      </w:r>
      <w:r>
        <w:rPr>
          <w:spacing w:val="2"/>
          <w:sz w:val="24"/>
          <w:szCs w:val="24"/>
          <w:rtl w:val="0"/>
          <w:lang w:val="en-US"/>
        </w:rPr>
        <w:t xml:space="preserve">The </w:t>
      </w:r>
      <w:r>
        <w:rPr>
          <w:sz w:val="24"/>
          <w:szCs w:val="24"/>
          <w:rtl w:val="0"/>
          <w:lang w:val="en-US"/>
        </w:rPr>
        <w:t>Benchmark Committee therefore recommended continued recognition, a decision approved by the GSSI Steering</w:t>
      </w:r>
      <w:r>
        <w:rPr>
          <w:spacing w:val="1"/>
          <w:sz w:val="24"/>
          <w:szCs w:val="24"/>
          <w:rtl w:val="0"/>
          <w:lang w:val="en-US"/>
        </w:rPr>
        <w:t xml:space="preserve"> </w:t>
      </w:r>
      <w:r>
        <w:rPr>
          <w:sz w:val="24"/>
          <w:szCs w:val="24"/>
          <w:rtl w:val="0"/>
          <w:lang w:val="en-US"/>
        </w:rPr>
        <w:t>Board.</w:t>
      </w:r>
    </w:p>
    <w:p>
      <w:pPr>
        <w:pStyle w:val="Body Text"/>
        <w:spacing w:line="288" w:lineRule="auto"/>
        <w:rPr>
          <w:b w:val="1"/>
          <w:bCs w:val="1"/>
          <w:sz w:val="24"/>
          <w:szCs w:val="24"/>
        </w:rPr>
      </w:pPr>
    </w:p>
    <w:p>
      <w:pPr>
        <w:pStyle w:val="Heading"/>
        <w:spacing w:line="288" w:lineRule="auto"/>
      </w:pPr>
      <w:r>
        <w:rPr>
          <w:color w:val="0099cc"/>
          <w:u w:color="0099cc"/>
          <w:rtl w:val="0"/>
          <w:lang w:val="en-US"/>
        </w:rPr>
        <w:t>ABOUT THE MOCA PROCESS</w:t>
      </w:r>
    </w:p>
    <w:p>
      <w:pPr>
        <w:pStyle w:val="Body Text"/>
        <w:spacing w:before="108" w:line="288" w:lineRule="auto"/>
        <w:ind w:left="132" w:right="127" w:firstLine="0"/>
        <w:rPr>
          <w:sz w:val="24"/>
          <w:szCs w:val="24"/>
        </w:rPr>
      </w:pPr>
      <w:r>
        <w:rPr>
          <w:sz w:val="24"/>
          <w:szCs w:val="24"/>
          <w:rtl w:val="0"/>
          <w:lang w:val="en-US"/>
        </w:rPr>
        <w:t xml:space="preserve">The GSSI Monitoring of Continued Alignment (MOCA) process is carried out on a three-year cycle (alternating with the full re-assessment). It starts with a self-assessment by the Scheme Owner, followed by a report to GSSI indicating any changes in the Scheme Ownership, Scheme </w:t>
      </w:r>
      <w:r>
        <w:rPr>
          <w:spacing w:val="2"/>
          <w:sz w:val="24"/>
          <w:szCs w:val="24"/>
          <w:rtl w:val="0"/>
          <w:lang w:val="en-US"/>
        </w:rPr>
        <w:t xml:space="preserve">Management </w:t>
      </w:r>
      <w:r>
        <w:rPr>
          <w:sz w:val="24"/>
          <w:szCs w:val="24"/>
          <w:rtl w:val="0"/>
          <w:lang w:val="en-US"/>
        </w:rPr>
        <w:t>or  the  Standard  itself. With the report, the Independent Experts conduct a Desktop Review to provide a recommendation on the continued alignment of the scheme. During the MOCA process, the IEs focus on two main parts to conclude whether the scheme continues to be in alignment with the GSSI Benchmark Tool and can maintain its</w:t>
      </w:r>
      <w:r>
        <w:rPr>
          <w:spacing w:val="10"/>
          <w:sz w:val="24"/>
          <w:szCs w:val="24"/>
          <w:rtl w:val="0"/>
          <w:lang w:val="en-US"/>
        </w:rPr>
        <w:t xml:space="preserve"> </w:t>
      </w:r>
      <w:r>
        <w:rPr>
          <w:sz w:val="24"/>
          <w:szCs w:val="24"/>
          <w:rtl w:val="0"/>
          <w:lang w:val="en-US"/>
        </w:rPr>
        <w:t>recognition:</w:t>
      </w:r>
    </w:p>
    <w:p>
      <w:pPr>
        <w:pStyle w:val="List Paragraph"/>
        <w:numPr>
          <w:ilvl w:val="0"/>
          <w:numId w:val="2"/>
        </w:numPr>
        <w:bidi w:val="0"/>
        <w:spacing w:line="288" w:lineRule="auto"/>
        <w:ind w:right="129"/>
        <w:jc w:val="left"/>
        <w:rPr>
          <w:sz w:val="24"/>
          <w:szCs w:val="24"/>
          <w:rtl w:val="0"/>
          <w:lang w:val="en-US"/>
        </w:rPr>
      </w:pPr>
      <w:r>
        <w:rPr>
          <w:sz w:val="24"/>
          <w:szCs w:val="24"/>
          <w:rtl w:val="0"/>
          <w:lang w:val="en-US"/>
        </w:rPr>
        <w:t>Identification of substantive changes in the reference documents since the recognition to determine if the scheme is still in alignment with all Essential Components of the Benchmark Tool.</w:t>
      </w:r>
    </w:p>
    <w:p>
      <w:pPr>
        <w:pStyle w:val="List Paragraph"/>
        <w:numPr>
          <w:ilvl w:val="0"/>
          <w:numId w:val="3"/>
        </w:numPr>
        <w:bidi w:val="0"/>
        <w:spacing w:before="1" w:line="288" w:lineRule="auto"/>
        <w:ind w:right="0"/>
        <w:jc w:val="left"/>
        <w:rPr>
          <w:sz w:val="24"/>
          <w:szCs w:val="24"/>
          <w:rtl w:val="0"/>
          <w:lang w:val="en-US"/>
        </w:rPr>
      </w:pPr>
      <w:r>
        <w:rPr>
          <w:sz w:val="24"/>
          <w:szCs w:val="24"/>
          <w:rtl w:val="0"/>
          <w:lang w:val="en-US"/>
        </w:rPr>
        <w:t>Verification of continued evidence of</w:t>
      </w:r>
      <w:r>
        <w:rPr>
          <w:spacing w:val="10"/>
          <w:sz w:val="24"/>
          <w:szCs w:val="24"/>
          <w:rtl w:val="0"/>
          <w:lang w:val="en-US"/>
        </w:rPr>
        <w:t xml:space="preserve"> </w:t>
      </w:r>
      <w:r>
        <w:rPr>
          <w:sz w:val="24"/>
          <w:szCs w:val="24"/>
          <w:rtl w:val="0"/>
          <w:lang w:val="en-US"/>
        </w:rPr>
        <w:t>implementation.</w:t>
      </w:r>
    </w:p>
    <w:p>
      <w:pPr>
        <w:pStyle w:val="Body Text"/>
        <w:spacing w:before="90" w:line="288" w:lineRule="auto"/>
        <w:ind w:left="132" w:right="128" w:firstLine="0"/>
        <w:rPr>
          <w:sz w:val="24"/>
          <w:szCs w:val="24"/>
        </w:rPr>
      </w:pPr>
      <w:r>
        <w:rPr>
          <w:sz w:val="24"/>
          <w:szCs w:val="24"/>
          <w:rtl w:val="0"/>
          <w:lang w:val="en-US"/>
        </w:rPr>
        <w:t>The recommendation by the IE is presented to the members of the Benchmark Committee</w:t>
      </w:r>
      <w:r>
        <w:rPr>
          <w:sz w:val="24"/>
          <w:szCs w:val="24"/>
          <w:rtl w:val="0"/>
          <w:lang w:val="en-US"/>
        </w:rPr>
        <w:t xml:space="preserve"> </w:t>
      </w:r>
      <w:r>
        <w:rPr>
          <w:sz w:val="24"/>
          <w:szCs w:val="24"/>
          <w:rtl w:val="0"/>
          <w:lang w:val="en-US"/>
        </w:rPr>
        <w:t>for review. Following review by the Benchmark Committee, a notification is sent  to  the  Board and  a public announcement is</w:t>
      </w:r>
      <w:r>
        <w:rPr>
          <w:spacing w:val="4"/>
          <w:sz w:val="24"/>
          <w:szCs w:val="24"/>
          <w:rtl w:val="0"/>
          <w:lang w:val="en-US"/>
        </w:rPr>
        <w:t xml:space="preserve"> </w:t>
      </w:r>
      <w:r>
        <w:rPr>
          <w:sz w:val="24"/>
          <w:szCs w:val="24"/>
          <w:rtl w:val="0"/>
          <w:lang w:val="en-US"/>
        </w:rPr>
        <w:t>made.</w:t>
      </w:r>
    </w:p>
    <w:p>
      <w:pPr>
        <w:pStyle w:val="Body Text"/>
        <w:spacing w:before="90" w:line="288" w:lineRule="auto"/>
        <w:ind w:left="132" w:right="128" w:firstLine="0"/>
        <w:rPr>
          <w:sz w:val="24"/>
          <w:szCs w:val="24"/>
        </w:rPr>
      </w:pPr>
    </w:p>
    <w:p>
      <w:pPr>
        <w:pStyle w:val="Body Text"/>
        <w:spacing w:before="90" w:line="288" w:lineRule="auto"/>
        <w:ind w:left="132" w:right="128" w:firstLine="0"/>
        <w:rPr>
          <w:sz w:val="24"/>
          <w:szCs w:val="24"/>
        </w:rPr>
      </w:pPr>
    </w:p>
    <w:p>
      <w:pPr>
        <w:pStyle w:val="Body Text"/>
        <w:spacing w:before="90" w:line="288" w:lineRule="auto"/>
        <w:ind w:left="132" w:right="128" w:firstLine="0"/>
        <w:rPr>
          <w:sz w:val="24"/>
          <w:szCs w:val="24"/>
        </w:rPr>
      </w:pPr>
    </w:p>
    <w:p>
      <w:pPr>
        <w:pStyle w:val="Body Text"/>
        <w:spacing w:before="90" w:line="288" w:lineRule="auto"/>
        <w:ind w:left="132" w:right="128" w:firstLine="0"/>
        <w:rPr>
          <w:sz w:val="24"/>
          <w:szCs w:val="24"/>
        </w:rPr>
      </w:pPr>
    </w:p>
    <w:p>
      <w:pPr>
        <w:pStyle w:val="Body Text"/>
        <w:spacing w:before="90" w:line="288" w:lineRule="auto"/>
        <w:ind w:left="132" w:right="128" w:firstLine="0"/>
        <w:rPr>
          <w:sz w:val="24"/>
          <w:szCs w:val="24"/>
        </w:rPr>
      </w:pPr>
    </w:p>
    <w:p>
      <w:pPr>
        <w:pStyle w:val="Body Text"/>
        <w:spacing w:before="90" w:line="288" w:lineRule="auto"/>
        <w:ind w:left="132" w:right="128" w:firstLine="0"/>
        <w:rPr>
          <w:sz w:val="24"/>
          <w:szCs w:val="24"/>
        </w:rPr>
      </w:pPr>
    </w:p>
    <w:p>
      <w:pPr>
        <w:pStyle w:val="Body Text"/>
        <w:spacing w:before="90" w:line="288" w:lineRule="auto"/>
        <w:ind w:left="132" w:right="128" w:firstLine="0"/>
        <w:rPr>
          <w:sz w:val="24"/>
          <w:szCs w:val="24"/>
        </w:rPr>
      </w:pPr>
    </w:p>
    <w:p>
      <w:pPr>
        <w:pStyle w:val="Body Text"/>
        <w:spacing w:before="90" w:line="288" w:lineRule="auto"/>
        <w:ind w:left="132" w:right="128" w:firstLine="0"/>
        <w:rPr>
          <w:sz w:val="24"/>
          <w:szCs w:val="24"/>
        </w:rPr>
      </w:pPr>
    </w:p>
    <w:p>
      <w:pPr>
        <w:pStyle w:val="Body Text"/>
        <w:spacing w:before="90" w:line="288" w:lineRule="auto"/>
        <w:ind w:left="132" w:right="128" w:firstLine="0"/>
        <w:rPr>
          <w:sz w:val="24"/>
          <w:szCs w:val="24"/>
        </w:rPr>
      </w:pPr>
    </w:p>
    <w:p>
      <w:pPr>
        <w:pStyle w:val="Heading"/>
        <w:spacing w:before="174" w:line="288" w:lineRule="auto"/>
      </w:pPr>
      <w:r>
        <w:rPr>
          <w:color w:val="0099cc"/>
          <w:u w:color="0099cc"/>
          <w:rtl w:val="0"/>
          <w:lang w:val="en-US"/>
        </w:rPr>
        <w:t>ABOUT THE GSSI BENCHMARKING PROCESS</w:t>
      </w:r>
    </w:p>
    <w:p>
      <w:pPr>
        <w:pStyle w:val="Body Text"/>
        <w:spacing w:before="69" w:line="288" w:lineRule="auto"/>
        <w:ind w:left="132" w:right="130" w:firstLine="0"/>
        <w:rPr>
          <w:sz w:val="24"/>
          <w:szCs w:val="24"/>
        </w:rPr>
      </w:pPr>
      <w:r>
        <w:rPr>
          <w:sz w:val="24"/>
          <w:szCs w:val="24"/>
        </w:rPr>
        <mc:AlternateContent>
          <mc:Choice Requires="wps">
            <w:drawing>
              <wp:anchor distT="0" distB="0" distL="0" distR="0" simplePos="0" relativeHeight="251657216" behindDoc="1" locked="0" layoutInCell="1" allowOverlap="1">
                <wp:simplePos x="0" y="0"/>
                <wp:positionH relativeFrom="page">
                  <wp:posOffset>2736849</wp:posOffset>
                </wp:positionH>
                <wp:positionV relativeFrom="line">
                  <wp:posOffset>203517</wp:posOffset>
                </wp:positionV>
                <wp:extent cx="39371" cy="12700"/>
                <wp:effectExtent l="0" t="0" r="0" b="0"/>
                <wp:wrapNone/>
                <wp:docPr id="1073741827" name="officeArt object" descr="Rectangle 3"/>
                <wp:cNvGraphicFramePr/>
                <a:graphic xmlns:a="http://schemas.openxmlformats.org/drawingml/2006/main">
                  <a:graphicData uri="http://schemas.microsoft.com/office/word/2010/wordprocessingShape">
                    <wps:wsp>
                      <wps:cNvSpPr/>
                      <wps:spPr>
                        <a:xfrm>
                          <a:off x="0" y="0"/>
                          <a:ext cx="39371" cy="12700"/>
                        </a:xfrm>
                        <a:prstGeom prst="rect">
                          <a:avLst/>
                        </a:prstGeom>
                        <a:solidFill>
                          <a:srgbClr val="000000"/>
                        </a:solidFill>
                        <a:ln w="12700" cap="flat">
                          <a:noFill/>
                          <a:miter lim="400000"/>
                        </a:ln>
                        <a:effectLst/>
                      </wps:spPr>
                      <wps:bodyPr/>
                    </wps:wsp>
                  </a:graphicData>
                </a:graphic>
              </wp:anchor>
            </w:drawing>
          </mc:Choice>
          <mc:Fallback>
            <w:pict>
              <v:rect id="_x0000_s1026" style="visibility:visible;position:absolute;margin-left:215.5pt;margin-top:16.0pt;width:3.1pt;height:1.0pt;z-index:-251659264;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w:rPr>
          <w:sz w:val="24"/>
          <w:szCs w:val="24"/>
          <w:rtl w:val="0"/>
          <w:lang w:val="en-US"/>
        </w:rPr>
        <w:t>GSSI</w:t>
      </w:r>
      <w:r>
        <w:rPr>
          <w:sz w:val="24"/>
          <w:szCs w:val="24"/>
          <w:rtl w:val="0"/>
          <w:lang w:val="en-US"/>
        </w:rPr>
        <w:t>’</w:t>
      </w:r>
      <w:r>
        <w:rPr>
          <w:sz w:val="24"/>
          <w:szCs w:val="24"/>
          <w:rtl w:val="0"/>
          <w:lang w:val="en-US"/>
        </w:rPr>
        <w:t xml:space="preserve">s </w:t>
      </w:r>
      <w:r>
        <w:rPr>
          <w:color w:val="3b7f9b"/>
          <w:sz w:val="24"/>
          <w:szCs w:val="24"/>
          <w:u w:val="single" w:color="3b7f9b"/>
          <w:rtl w:val="0"/>
          <w:lang w:val="en-US"/>
        </w:rPr>
        <w:t>Global Benchmark Tool</w:t>
      </w:r>
      <w:r>
        <w:rPr>
          <w:color w:val="3b7f9b"/>
          <w:sz w:val="24"/>
          <w:szCs w:val="24"/>
          <w:u w:color="3b7f9b"/>
          <w:rtl w:val="0"/>
          <w:lang w:val="en-US"/>
        </w:rPr>
        <w:t xml:space="preserve"> </w:t>
      </w:r>
      <w:r>
        <w:rPr>
          <w:sz w:val="24"/>
          <w:szCs w:val="24"/>
          <w:rtl w:val="0"/>
          <w:lang w:val="en-US"/>
        </w:rPr>
        <w:t>provides formal recognition of seafood certification schemes that successfully complete a rigorous and transparent benchmark process, underpinned by the FAO Guidelines. The Tool</w:t>
      </w:r>
      <w:r>
        <w:rPr>
          <w:sz w:val="24"/>
          <w:szCs w:val="24"/>
          <w:rtl w:val="0"/>
          <w:lang w:val="en-US"/>
        </w:rPr>
        <w:t>’</w:t>
      </w:r>
      <w:r>
        <w:rPr>
          <w:sz w:val="24"/>
          <w:szCs w:val="24"/>
          <w:rtl w:val="0"/>
          <w:lang w:val="en-US"/>
        </w:rPr>
        <w:t xml:space="preserve">s </w:t>
      </w:r>
      <w:r>
        <w:rPr>
          <w:color w:val="3b7f9b"/>
          <w:sz w:val="24"/>
          <w:szCs w:val="24"/>
          <w:u w:val="single" w:color="3b7f9b"/>
          <w:rtl w:val="0"/>
          <w:lang w:val="en-US"/>
        </w:rPr>
        <w:t>7-step Benchmark Process</w:t>
      </w:r>
      <w:r>
        <w:rPr>
          <w:color w:val="3b7f9b"/>
          <w:sz w:val="24"/>
          <w:szCs w:val="24"/>
          <w:u w:color="3b7f9b"/>
          <w:rtl w:val="0"/>
          <w:lang w:val="en-US"/>
        </w:rPr>
        <w:t xml:space="preserve"> </w:t>
      </w:r>
      <w:r>
        <w:rPr>
          <w:sz w:val="24"/>
          <w:szCs w:val="24"/>
          <w:rtl w:val="0"/>
          <w:lang w:val="en-US"/>
        </w:rPr>
        <w:t xml:space="preserve">is voluntary and designed to be independent, impartial  and  transparent. The  expert-led process involves objective assessments made against performance areas covering scheme governance, operational </w:t>
      </w:r>
      <w:r>
        <w:rPr>
          <w:spacing w:val="2"/>
          <w:sz w:val="24"/>
          <w:szCs w:val="24"/>
          <w:rtl w:val="0"/>
          <w:lang w:val="en-US"/>
        </w:rPr>
        <w:t xml:space="preserve">management </w:t>
      </w:r>
      <w:r>
        <w:rPr>
          <w:sz w:val="24"/>
          <w:szCs w:val="24"/>
          <w:rtl w:val="0"/>
          <w:lang w:val="en-US"/>
        </w:rPr>
        <w:t>(including chain of custody)</w:t>
      </w:r>
      <w:r>
        <w:rPr>
          <w:spacing w:val="28"/>
          <w:sz w:val="24"/>
          <w:szCs w:val="24"/>
          <w:rtl w:val="0"/>
          <w:lang w:val="en-US"/>
        </w:rPr>
        <w:t xml:space="preserve"> </w:t>
      </w:r>
      <w:r>
        <w:rPr>
          <w:sz w:val="24"/>
          <w:szCs w:val="24"/>
          <w:rtl w:val="0"/>
          <w:lang w:val="en-US"/>
        </w:rPr>
        <w:t>and</w:t>
      </w:r>
      <w:r>
        <w:rPr>
          <w:spacing w:val="32"/>
          <w:sz w:val="24"/>
          <w:szCs w:val="24"/>
          <w:rtl w:val="0"/>
          <w:lang w:val="en-US"/>
        </w:rPr>
        <w:t xml:space="preserve"> </w:t>
      </w:r>
      <w:r>
        <w:rPr>
          <w:sz w:val="24"/>
          <w:szCs w:val="24"/>
          <w:rtl w:val="0"/>
          <w:lang w:val="en-US"/>
        </w:rPr>
        <w:t>standards</w:t>
      </w:r>
      <w:r>
        <w:rPr>
          <w:spacing w:val="30"/>
          <w:sz w:val="24"/>
          <w:szCs w:val="24"/>
          <w:rtl w:val="0"/>
          <w:lang w:val="en-US"/>
        </w:rPr>
        <w:t xml:space="preserve"> </w:t>
      </w:r>
      <w:r>
        <w:rPr>
          <w:sz w:val="24"/>
          <w:szCs w:val="24"/>
          <w:rtl w:val="0"/>
          <w:lang w:val="en-US"/>
        </w:rPr>
        <w:t>for</w:t>
      </w:r>
      <w:r>
        <w:rPr>
          <w:spacing w:val="29"/>
          <w:sz w:val="24"/>
          <w:szCs w:val="24"/>
          <w:rtl w:val="0"/>
          <w:lang w:val="en-US"/>
        </w:rPr>
        <w:t xml:space="preserve"> </w:t>
      </w:r>
      <w:r>
        <w:rPr>
          <w:sz w:val="24"/>
          <w:szCs w:val="24"/>
          <w:rtl w:val="0"/>
          <w:lang w:val="en-US"/>
        </w:rPr>
        <w:t>aquaculture</w:t>
      </w:r>
      <w:r>
        <w:rPr>
          <w:spacing w:val="29"/>
          <w:sz w:val="24"/>
          <w:szCs w:val="24"/>
          <w:rtl w:val="0"/>
          <w:lang w:val="en-US"/>
        </w:rPr>
        <w:t xml:space="preserve"> </w:t>
      </w:r>
      <w:r>
        <w:rPr>
          <w:sz w:val="24"/>
          <w:szCs w:val="24"/>
          <w:rtl w:val="0"/>
          <w:lang w:val="en-US"/>
        </w:rPr>
        <w:t>and</w:t>
      </w:r>
      <w:r>
        <w:rPr>
          <w:spacing w:val="32"/>
          <w:sz w:val="24"/>
          <w:szCs w:val="24"/>
          <w:rtl w:val="0"/>
          <w:lang w:val="en-US"/>
        </w:rPr>
        <w:t xml:space="preserve"> </w:t>
      </w:r>
      <w:r>
        <w:rPr>
          <w:sz w:val="24"/>
          <w:szCs w:val="24"/>
          <w:rtl w:val="0"/>
          <w:lang w:val="en-US"/>
        </w:rPr>
        <w:t>fisheries</w:t>
      </w:r>
      <w:r>
        <w:rPr>
          <w:spacing w:val="30"/>
          <w:sz w:val="24"/>
          <w:szCs w:val="24"/>
          <w:rtl w:val="0"/>
          <w:lang w:val="en-US"/>
        </w:rPr>
        <w:t xml:space="preserve"> </w:t>
      </w:r>
      <w:r>
        <w:rPr>
          <w:sz w:val="24"/>
          <w:szCs w:val="24"/>
          <w:rtl w:val="0"/>
          <w:lang w:val="en-US"/>
        </w:rPr>
        <w:t>certification.</w:t>
      </w:r>
      <w:r>
        <w:rPr>
          <w:spacing w:val="5"/>
          <w:sz w:val="24"/>
          <w:szCs w:val="24"/>
          <w:rtl w:val="0"/>
          <w:lang w:val="en-US"/>
        </w:rPr>
        <w:t xml:space="preserve"> </w:t>
      </w:r>
      <w:r>
        <w:rPr>
          <w:sz w:val="24"/>
          <w:szCs w:val="24"/>
          <w:rtl w:val="0"/>
          <w:lang w:val="en-US"/>
        </w:rPr>
        <w:t>Once</w:t>
      </w:r>
      <w:r>
        <w:rPr>
          <w:spacing w:val="30"/>
          <w:sz w:val="24"/>
          <w:szCs w:val="24"/>
          <w:rtl w:val="0"/>
          <w:lang w:val="en-US"/>
        </w:rPr>
        <w:t xml:space="preserve"> </w:t>
      </w:r>
      <w:r>
        <w:rPr>
          <w:sz w:val="24"/>
          <w:szCs w:val="24"/>
          <w:rtl w:val="0"/>
          <w:lang w:val="en-US"/>
        </w:rPr>
        <w:t>a</w:t>
      </w:r>
      <w:r>
        <w:rPr>
          <w:spacing w:val="29"/>
          <w:sz w:val="24"/>
          <w:szCs w:val="24"/>
          <w:rtl w:val="0"/>
          <w:lang w:val="en-US"/>
        </w:rPr>
        <w:t xml:space="preserve"> </w:t>
      </w:r>
      <w:r>
        <w:rPr>
          <w:sz w:val="24"/>
          <w:szCs w:val="24"/>
          <w:rtl w:val="0"/>
          <w:lang w:val="en-US"/>
        </w:rPr>
        <w:t>scheme</w:t>
      </w:r>
      <w:r>
        <w:rPr>
          <w:spacing w:val="30"/>
          <w:sz w:val="24"/>
          <w:szCs w:val="24"/>
          <w:rtl w:val="0"/>
          <w:lang w:val="en-US"/>
        </w:rPr>
        <w:t xml:space="preserve"> </w:t>
      </w:r>
      <w:r>
        <w:rPr>
          <w:sz w:val="24"/>
          <w:szCs w:val="24"/>
          <w:rtl w:val="0"/>
          <w:lang w:val="en-US"/>
        </w:rPr>
        <w:t>has</w:t>
      </w:r>
      <w:r>
        <w:rPr>
          <w:spacing w:val="30"/>
          <w:sz w:val="24"/>
          <w:szCs w:val="24"/>
          <w:rtl w:val="0"/>
          <w:lang w:val="en-US"/>
        </w:rPr>
        <w:t xml:space="preserve"> </w:t>
      </w:r>
      <w:r>
        <w:rPr>
          <w:sz w:val="24"/>
          <w:szCs w:val="24"/>
          <w:rtl w:val="0"/>
          <w:lang w:val="en-US"/>
        </w:rPr>
        <w:t>gone</w:t>
      </w:r>
      <w:r>
        <w:rPr>
          <w:spacing w:val="30"/>
          <w:sz w:val="24"/>
          <w:szCs w:val="24"/>
          <w:rtl w:val="0"/>
          <w:lang w:val="en-US"/>
        </w:rPr>
        <w:t xml:space="preserve"> </w:t>
      </w:r>
      <w:r>
        <w:rPr>
          <w:sz w:val="24"/>
          <w:szCs w:val="24"/>
          <w:rtl w:val="0"/>
          <w:lang w:val="en-US"/>
        </w:rPr>
        <w:t xml:space="preserve">through the Benchmark Process and is found in alignment with the 186 Essential Components, it will be publicly recognized by GSSI and the Benchmark Report will be made available on the GSSI website: </w:t>
      </w:r>
      <w:r>
        <w:rPr>
          <w:rStyle w:val="Hyperlink.0"/>
          <w:sz w:val="24"/>
          <w:szCs w:val="24"/>
        </w:rPr>
        <w:fldChar w:fldCharType="begin" w:fldLock="0"/>
      </w:r>
      <w:r>
        <w:rPr>
          <w:rStyle w:val="Hyperlink.0"/>
          <w:sz w:val="24"/>
          <w:szCs w:val="24"/>
        </w:rPr>
        <w:instrText xml:space="preserve"> HYPERLINK "http://www.ourgssi.org/"</w:instrText>
      </w:r>
      <w:r>
        <w:rPr>
          <w:rStyle w:val="Hyperlink.0"/>
          <w:sz w:val="24"/>
          <w:szCs w:val="24"/>
        </w:rPr>
        <w:fldChar w:fldCharType="separate" w:fldLock="0"/>
      </w:r>
      <w:r>
        <w:rPr>
          <w:rStyle w:val="Hyperlink.0"/>
          <w:sz w:val="24"/>
          <w:szCs w:val="24"/>
          <w:rtl w:val="0"/>
          <w:lang w:val="en-US"/>
        </w:rPr>
        <w:t>www.ourgssi.org</w:t>
      </w:r>
      <w:r>
        <w:rPr>
          <w:sz w:val="24"/>
          <w:szCs w:val="24"/>
          <w:rtl w:val="0"/>
          <w:lang w:val="en-US"/>
        </w:rPr>
        <w:t>.</w:t>
      </w:r>
      <w:r>
        <w:rPr>
          <w:sz w:val="24"/>
          <w:szCs w:val="24"/>
        </w:rPr>
        <w:fldChar w:fldCharType="end" w:fldLock="0"/>
      </w:r>
    </w:p>
    <w:p>
      <w:pPr>
        <w:pStyle w:val="Body Text"/>
        <w:spacing w:before="8" w:line="288" w:lineRule="auto"/>
        <w:rPr>
          <w:sz w:val="24"/>
          <w:szCs w:val="24"/>
        </w:rPr>
      </w:pPr>
    </w:p>
    <w:p>
      <w:pPr>
        <w:pStyle w:val="Heading"/>
        <w:spacing w:line="288" w:lineRule="auto"/>
        <w:ind w:left="0" w:firstLine="0"/>
        <w:rPr>
          <w:rStyle w:val="None"/>
          <w:color w:val="0099cc"/>
          <w:u w:color="0099cc"/>
        </w:rPr>
      </w:pPr>
      <w:r>
        <w:rPr>
          <w:rStyle w:val="None"/>
          <w:color w:val="0099cc"/>
          <w:u w:color="0099cc"/>
          <w:rtl w:val="0"/>
          <w:lang w:val="de-DE"/>
        </w:rPr>
        <w:t>ABOUT GLOBALG.A.P.</w:t>
      </w:r>
    </w:p>
    <w:p>
      <w:pPr>
        <w:pStyle w:val="Heading"/>
        <w:spacing w:line="288" w:lineRule="auto"/>
        <w:ind w:left="0" w:firstLine="0"/>
        <w:rPr>
          <w:rStyle w:val="None"/>
          <w:b w:val="0"/>
          <w:bCs w:val="0"/>
          <w:shd w:val="clear" w:color="auto" w:fill="ffffff"/>
        </w:rPr>
      </w:pPr>
      <w:r>
        <w:rPr>
          <w:rStyle w:val="None"/>
          <w:b w:val="0"/>
          <w:bCs w:val="0"/>
          <w:shd w:val="clear" w:color="auto" w:fill="ffffff"/>
          <w:rtl w:val="0"/>
          <w:lang w:val="en-US"/>
        </w:rPr>
        <w:t>GLOBALG.A.P. is a leading global certification program for farm assurance in agriculture and aquaculture. Our mission is to bring farmers and retailers together to produce and market safe food to protect scarce resources and build a sustainable future. The GLOBALG.A.P. Aquaculture Certification System addresses the four pillars stipulated by the FAO Technical Guidelines on Aquaculture Certification: Animal health and welfare, food safety, environmental integrity and socio-economic aspects. For the food safety component, it is currently the one and only certification system for aquaculture recognized by the Global Food Safety Initiative (GFSI) Visit</w:t>
      </w:r>
      <w:r>
        <w:rPr>
          <w:rStyle w:val="None"/>
          <w:b w:val="0"/>
          <w:bCs w:val="0"/>
          <w:shd w:val="clear" w:color="auto" w:fill="ffffff"/>
          <w:rtl w:val="0"/>
        </w:rPr>
        <w:t> </w:t>
      </w:r>
      <w:r>
        <w:rPr>
          <w:rStyle w:val="Hyperlink.1"/>
          <w:b w:val="0"/>
          <w:bCs w:val="0"/>
        </w:rPr>
        <w:fldChar w:fldCharType="begin" w:fldLock="0"/>
      </w:r>
      <w:r>
        <w:rPr>
          <w:rStyle w:val="Hyperlink.1"/>
          <w:b w:val="0"/>
          <w:bCs w:val="0"/>
        </w:rPr>
        <w:instrText xml:space="preserve"> HYPERLINK "http://www.globalgap.org/"</w:instrText>
      </w:r>
      <w:r>
        <w:rPr>
          <w:rStyle w:val="Hyperlink.1"/>
          <w:b w:val="0"/>
          <w:bCs w:val="0"/>
        </w:rPr>
        <w:fldChar w:fldCharType="separate" w:fldLock="0"/>
      </w:r>
      <w:r>
        <w:rPr>
          <w:rStyle w:val="Hyperlink.1"/>
          <w:b w:val="0"/>
          <w:bCs w:val="0"/>
          <w:rtl w:val="0"/>
        </w:rPr>
        <w:t>www.globalgap.org</w:t>
      </w:r>
      <w:r>
        <w:rPr>
          <w:b w:val="0"/>
          <w:bCs w:val="0"/>
        </w:rPr>
        <w:fldChar w:fldCharType="end" w:fldLock="0"/>
      </w:r>
      <w:r>
        <w:rPr>
          <w:rStyle w:val="None"/>
          <w:b w:val="0"/>
          <w:bCs w:val="0"/>
          <w:shd w:val="clear" w:color="auto" w:fill="ffffff"/>
          <w:rtl w:val="0"/>
        </w:rPr>
        <w:t> </w:t>
      </w:r>
      <w:r>
        <w:rPr>
          <w:rStyle w:val="None"/>
          <w:b w:val="0"/>
          <w:bCs w:val="0"/>
          <w:shd w:val="clear" w:color="auto" w:fill="ffffff"/>
          <w:rtl w:val="0"/>
        </w:rPr>
        <w:t>and</w:t>
      </w:r>
      <w:r>
        <w:rPr>
          <w:rStyle w:val="None"/>
          <w:b w:val="0"/>
          <w:bCs w:val="0"/>
          <w:shd w:val="clear" w:color="auto" w:fill="ffffff"/>
          <w:rtl w:val="0"/>
        </w:rPr>
        <w:t> </w:t>
      </w:r>
      <w:r>
        <w:rPr>
          <w:rStyle w:val="Hyperlink.1"/>
          <w:b w:val="0"/>
          <w:bCs w:val="0"/>
        </w:rPr>
        <w:fldChar w:fldCharType="begin" w:fldLock="0"/>
      </w:r>
      <w:r>
        <w:rPr>
          <w:rStyle w:val="Hyperlink.1"/>
          <w:b w:val="0"/>
          <w:bCs w:val="0"/>
        </w:rPr>
        <w:instrText xml:space="preserve"> HYPERLINK "http://www.ggn.org/"</w:instrText>
      </w:r>
      <w:r>
        <w:rPr>
          <w:rStyle w:val="Hyperlink.1"/>
          <w:b w:val="0"/>
          <w:bCs w:val="0"/>
        </w:rPr>
        <w:fldChar w:fldCharType="separate" w:fldLock="0"/>
      </w:r>
      <w:r>
        <w:rPr>
          <w:rStyle w:val="Hyperlink.1"/>
          <w:b w:val="0"/>
          <w:bCs w:val="0"/>
          <w:rtl w:val="0"/>
        </w:rPr>
        <w:t>www.ggn.org</w:t>
      </w:r>
      <w:r>
        <w:rPr>
          <w:b w:val="0"/>
          <w:bCs w:val="0"/>
        </w:rPr>
        <w:fldChar w:fldCharType="end" w:fldLock="0"/>
      </w:r>
      <w:r>
        <w:rPr>
          <w:rStyle w:val="None"/>
          <w:b w:val="0"/>
          <w:bCs w:val="0"/>
          <w:shd w:val="clear" w:color="auto" w:fill="ffffff"/>
          <w:rtl w:val="0"/>
        </w:rPr>
        <w:t> </w:t>
      </w:r>
      <w:r>
        <w:rPr>
          <w:rStyle w:val="None"/>
          <w:b w:val="0"/>
          <w:bCs w:val="0"/>
          <w:shd w:val="clear" w:color="auto" w:fill="ffffff"/>
          <w:rtl w:val="0"/>
          <w:lang w:val="en-US"/>
        </w:rPr>
        <w:t>for more information.</w:t>
      </w:r>
    </w:p>
    <w:p>
      <w:pPr>
        <w:pStyle w:val="Heading"/>
        <w:spacing w:line="288" w:lineRule="auto"/>
        <w:ind w:left="0" w:firstLine="0"/>
        <w:rPr>
          <w:b w:val="0"/>
          <w:bCs w:val="0"/>
          <w:shd w:val="clear" w:color="auto" w:fill="ffffff"/>
        </w:rPr>
      </w:pPr>
    </w:p>
    <w:p>
      <w:pPr>
        <w:pStyle w:val="Heading"/>
        <w:spacing w:line="288" w:lineRule="auto"/>
        <w:ind w:left="0" w:firstLine="0"/>
        <w:rPr>
          <w:b w:val="0"/>
          <w:bCs w:val="0"/>
        </w:rPr>
      </w:pPr>
    </w:p>
    <w:p>
      <w:pPr>
        <w:pStyle w:val="Body Text"/>
        <w:spacing w:before="7" w:line="288" w:lineRule="auto"/>
        <w:rPr>
          <w:sz w:val="24"/>
          <w:szCs w:val="24"/>
        </w:rPr>
      </w:pPr>
    </w:p>
    <w:p>
      <w:pPr>
        <w:pStyle w:val="Body"/>
        <w:spacing w:before="100" w:line="288" w:lineRule="auto"/>
        <w:ind w:left="5004" w:right="5003" w:firstLine="0"/>
        <w:rPr>
          <w:sz w:val="24"/>
          <w:szCs w:val="24"/>
        </w:rPr>
      </w:pPr>
    </w:p>
    <w:p>
      <w:pPr>
        <w:pStyle w:val="Body"/>
        <w:spacing w:before="100" w:line="288" w:lineRule="auto"/>
        <w:ind w:left="5004" w:right="5003" w:firstLine="0"/>
        <w:rPr>
          <w:sz w:val="24"/>
          <w:szCs w:val="24"/>
        </w:rPr>
      </w:pPr>
      <w:r>
        <w:rPr>
          <w:sz w:val="24"/>
          <w:szCs w:val="24"/>
          <w:rtl w:val="0"/>
        </w:rPr>
        <w:t xml:space="preserve">## </w:t>
      </w:r>
    </w:p>
    <w:sectPr>
      <w:headerReference w:type="default" r:id="rId4"/>
      <w:footerReference w:type="default" r:id="rId5"/>
      <w:pgSz w:w="11900" w:h="16840" w:orient="portrait"/>
      <w:pgMar w:top="1680" w:right="520" w:bottom="1140" w:left="1000" w:header="757" w:footer="952"/>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pPr>
    <w:r>
      <w:drawing>
        <wp:anchor distT="152400" distB="152400" distL="152400" distR="152400" simplePos="0" relativeHeight="251658240" behindDoc="1" locked="0" layoutInCell="1" allowOverlap="1">
          <wp:simplePos x="0" y="0"/>
          <wp:positionH relativeFrom="page">
            <wp:posOffset>717744</wp:posOffset>
          </wp:positionH>
          <wp:positionV relativeFrom="page">
            <wp:posOffset>480733</wp:posOffset>
          </wp:positionV>
          <wp:extent cx="908334" cy="587206"/>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extLst/>
                  </a:blip>
                  <a:stretch>
                    <a:fillRect/>
                  </a:stretch>
                </pic:blipFill>
                <pic:spPr>
                  <a:xfrm>
                    <a:off x="0" y="0"/>
                    <a:ext cx="908334" cy="587206"/>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7039610</wp:posOffset>
              </wp:positionH>
              <wp:positionV relativeFrom="page">
                <wp:posOffset>9949180</wp:posOffset>
              </wp:positionV>
              <wp:extent cx="128269" cy="211455"/>
              <wp:effectExtent l="0" t="0" r="0" b="0"/>
              <wp:wrapNone/>
              <wp:docPr id="1073741826" name="officeArt object" descr="Text Box 1"/>
              <wp:cNvGraphicFramePr/>
              <a:graphic xmlns:a="http://schemas.openxmlformats.org/drawingml/2006/main">
                <a:graphicData uri="http://schemas.microsoft.com/office/word/2010/wordprocessingShape">
                  <wps:wsp>
                    <wps:cNvSpPr/>
                    <wps:spPr>
                      <a:xfrm>
                        <a:off x="0" y="0"/>
                        <a:ext cx="128269" cy="211455"/>
                      </a:xfrm>
                      <a:prstGeom prst="rect">
                        <a:avLst/>
                      </a:prstGeom>
                      <a:noFill/>
                      <a:ln w="12700" cap="flat">
                        <a:noFill/>
                        <a:miter lim="400000"/>
                      </a:ln>
                      <a:effectLst/>
                    </wps:spPr>
                    <wps:txbx>
                      <w:txbxContent>
                        <w:p>
                          <w:pPr>
                            <w:pStyle w:val="Body"/>
                            <w:spacing w:before="20"/>
                            <w:ind w:left="40" w:firstLine="0"/>
                          </w:pPr>
                          <w:r>
                            <w:rPr>
                              <w:rFonts w:ascii="Calibri" w:cs="Calibri" w:hAnsi="Calibri" w:eastAsia="Calibri"/>
                              <w:sz w:val="24"/>
                              <w:szCs w:val="24"/>
                              <w:rtl w:val="0"/>
                            </w:rPr>
                            <w:fldChar w:fldCharType="begin" w:fldLock="0"/>
                          </w:r>
                          <w:r>
                            <w:rPr>
                              <w:rFonts w:ascii="Calibri" w:cs="Calibri" w:hAnsi="Calibri" w:eastAsia="Calibri"/>
                              <w:sz w:val="24"/>
                              <w:szCs w:val="24"/>
                              <w:rtl w:val="0"/>
                            </w:rPr>
                            <w:instrText xml:space="preserve"> PAGE </w:instrText>
                          </w:r>
                          <w:r>
                            <w:rPr>
                              <w:rFonts w:ascii="Calibri" w:cs="Calibri" w:hAnsi="Calibri" w:eastAsia="Calibri"/>
                              <w:sz w:val="24"/>
                              <w:szCs w:val="24"/>
                              <w:rtl w:val="0"/>
                            </w:rPr>
                            <w:fldChar w:fldCharType="separate" w:fldLock="0"/>
                          </w:r>
                          <w:r>
                            <w:rPr>
                              <w:rFonts w:ascii="Calibri" w:cs="Calibri" w:hAnsi="Calibri" w:eastAsia="Calibri"/>
                              <w:sz w:val="24"/>
                              <w:szCs w:val="24"/>
                              <w:rtl w:val="0"/>
                            </w:rPr>
                            <w:t>1</w:t>
                          </w:r>
                          <w:r>
                            <w:rPr>
                              <w:rFonts w:ascii="Calibri" w:cs="Calibri" w:hAnsi="Calibri" w:eastAsia="Calibri"/>
                              <w:sz w:val="24"/>
                              <w:szCs w:val="24"/>
                              <w:rtl w:val="0"/>
                            </w:rPr>
                            <w:fldChar w:fldCharType="end" w:fldLock="0"/>
                          </w:r>
                        </w:p>
                      </w:txbxContent>
                    </wps:txbx>
                    <wps:bodyPr wrap="square" lIns="0" tIns="0" rIns="0" bIns="0" numCol="1" anchor="t">
                      <a:noAutofit/>
                    </wps:bodyPr>
                  </wps:wsp>
                </a:graphicData>
              </a:graphic>
            </wp:anchor>
          </w:drawing>
        </mc:Choice>
        <mc:Fallback>
          <w:pict>
            <v:rect id="_x0000_s1027" style="visibility:visible;position:absolute;margin-left:554.3pt;margin-top:783.4pt;width:10.1pt;height:16.6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20"/>
                      <w:ind w:left="40" w:firstLine="0"/>
                    </w:pPr>
                    <w:r>
                      <w:rPr>
                        <w:rFonts w:ascii="Calibri" w:cs="Calibri" w:hAnsi="Calibri" w:eastAsia="Calibri"/>
                        <w:sz w:val="24"/>
                        <w:szCs w:val="24"/>
                        <w:rtl w:val="0"/>
                      </w:rPr>
                      <w:fldChar w:fldCharType="begin" w:fldLock="0"/>
                    </w:r>
                    <w:r>
                      <w:rPr>
                        <w:rFonts w:ascii="Calibri" w:cs="Calibri" w:hAnsi="Calibri" w:eastAsia="Calibri"/>
                        <w:sz w:val="24"/>
                        <w:szCs w:val="24"/>
                        <w:rtl w:val="0"/>
                      </w:rPr>
                      <w:instrText xml:space="preserve"> PAGE </w:instrText>
                    </w:r>
                    <w:r>
                      <w:rPr>
                        <w:rFonts w:ascii="Calibri" w:cs="Calibri" w:hAnsi="Calibri" w:eastAsia="Calibri"/>
                        <w:sz w:val="24"/>
                        <w:szCs w:val="24"/>
                        <w:rtl w:val="0"/>
                      </w:rPr>
                      <w:fldChar w:fldCharType="separate" w:fldLock="0"/>
                    </w:r>
                    <w:r>
                      <w:rPr>
                        <w:rFonts w:ascii="Calibri" w:cs="Calibri" w:hAnsi="Calibri" w:eastAsia="Calibri"/>
                        <w:sz w:val="24"/>
                        <w:szCs w:val="24"/>
                        <w:rtl w:val="0"/>
                      </w:rPr>
                      <w:t>1</w:t>
                    </w:r>
                    <w:r>
                      <w:rPr>
                        <w:rFonts w:ascii="Calibri" w:cs="Calibri" w:hAnsi="Calibri" w:eastAsia="Calibri"/>
                        <w:sz w:val="24"/>
                        <w:szCs w:val="24"/>
                        <w:rtl w:val="0"/>
                      </w:rPr>
                      <w:fldChar w:fldCharType="end" w:fldLock="0"/>
                    </w:r>
                  </w:p>
                </w:txbxContent>
              </v:textbox>
              <w10:wrap type="none" side="bothSides" anchorx="page" anchory="page"/>
            </v: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853"/>
        </w:tabs>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853"/>
        </w:tabs>
        <w:ind w:left="411" w:hanging="4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nothing"/>
      <w:lvlText w:val="%1.%2.%3."/>
      <w:lvlJc w:val="left"/>
      <w:pPr>
        <w:tabs>
          <w:tab w:val="left" w:pos="853"/>
        </w:tabs>
        <w:ind w:left="903" w:hanging="4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nothing"/>
      <w:lvlText w:val="%1.%2.%3.%4."/>
      <w:lvlJc w:val="left"/>
      <w:pPr>
        <w:tabs>
          <w:tab w:val="left" w:pos="853"/>
        </w:tabs>
        <w:ind w:left="1149" w:hanging="4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nothing"/>
      <w:lvlText w:val="%1.%2.%3.%4.%5."/>
      <w:lvlJc w:val="left"/>
      <w:pPr>
        <w:tabs>
          <w:tab w:val="left" w:pos="853"/>
        </w:tabs>
        <w:ind w:left="1395" w:hanging="4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nothing"/>
      <w:lvlText w:val="%1.%2.%3.%4.%5.%6."/>
      <w:lvlJc w:val="left"/>
      <w:pPr>
        <w:tabs>
          <w:tab w:val="left" w:pos="853"/>
        </w:tabs>
        <w:ind w:left="1641" w:hanging="4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1.%2.%3.%4.%5.%6.%7."/>
      <w:lvlJc w:val="left"/>
      <w:pPr>
        <w:tabs>
          <w:tab w:val="left" w:pos="853"/>
        </w:tabs>
        <w:ind w:left="1887" w:hanging="4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nothing"/>
      <w:lvlText w:val="%1.%2.%3.%4.%5.%6.%7.%8."/>
      <w:lvlJc w:val="left"/>
      <w:pPr>
        <w:tabs>
          <w:tab w:val="left" w:pos="853"/>
        </w:tabs>
        <w:ind w:left="2133" w:hanging="4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1.%2.%3.%4.%5.%6.%7.%8.%9."/>
      <w:lvlJc w:val="left"/>
      <w:pPr>
        <w:tabs>
          <w:tab w:val="left" w:pos="853"/>
        </w:tabs>
        <w:ind w:left="2379" w:hanging="4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853"/>
          </w:tabs>
          <w:ind w:left="361"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left" w:pos="853"/>
          </w:tabs>
          <w:ind w:left="413" w:hanging="4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nothing"/>
        <w:lvlText w:val="%1.%2.%3."/>
        <w:lvlJc w:val="left"/>
        <w:pPr>
          <w:tabs>
            <w:tab w:val="left" w:pos="853"/>
          </w:tabs>
          <w:ind w:left="904" w:hanging="4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nothing"/>
        <w:lvlText w:val="%1.%2.%3.%4."/>
        <w:lvlJc w:val="left"/>
        <w:pPr>
          <w:tabs>
            <w:tab w:val="left" w:pos="853"/>
          </w:tabs>
          <w:ind w:left="1149" w:hanging="4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nothing"/>
        <w:lvlText w:val="%1.%2.%3.%4.%5."/>
        <w:lvlJc w:val="left"/>
        <w:pPr>
          <w:tabs>
            <w:tab w:val="left" w:pos="853"/>
          </w:tabs>
          <w:ind w:left="1395" w:hanging="4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nothing"/>
        <w:lvlText w:val="%1.%2.%3.%4.%5.%6."/>
        <w:lvlJc w:val="left"/>
        <w:pPr>
          <w:tabs>
            <w:tab w:val="left" w:pos="853"/>
          </w:tabs>
          <w:ind w:left="1640" w:hanging="4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1.%2.%3.%4.%5.%6.%7."/>
        <w:lvlJc w:val="left"/>
        <w:pPr>
          <w:tabs>
            <w:tab w:val="left" w:pos="853"/>
          </w:tabs>
          <w:ind w:left="1886" w:hanging="4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nothing"/>
        <w:lvlText w:val="%1.%2.%3.%4.%5.%6.%7.%8."/>
        <w:lvlJc w:val="left"/>
        <w:pPr>
          <w:tabs>
            <w:tab w:val="left" w:pos="853"/>
          </w:tabs>
          <w:ind w:left="2131" w:hanging="4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nothing"/>
        <w:lvlText w:val="%1.%2.%3.%4.%5.%6.%7.%8.%9."/>
        <w:lvlJc w:val="left"/>
        <w:pPr>
          <w:tabs>
            <w:tab w:val="left" w:pos="853"/>
          </w:tabs>
          <w:ind w:left="2377" w:hanging="4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 Spacing">
    <w:name w:val="No Spacing"/>
    <w:next w:val="No Spacing"/>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132"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52" w:right="129" w:hanging="361"/>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color w:val="3b7f9b"/>
      <w:u w:val="single" w:color="3b7f9b"/>
    </w:rPr>
  </w:style>
  <w:style w:type="character" w:styleId="Link">
    <w:name w:val="Link"/>
    <w:rPr>
      <w:color w:val="0000ff"/>
      <w:u w:val="single" w:color="0000ff"/>
    </w:rPr>
  </w:style>
  <w:style w:type="character" w:styleId="Hyperlink.1">
    <w:name w:val="Hyperlink.1"/>
    <w:basedOn w:val="Link"/>
    <w:next w:val="Hyperlink.1"/>
    <w:rPr>
      <w:color w:val="000000"/>
      <w:u w:color="000000"/>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